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119 II 227</w:t>
      </w:r>
    </w:p>
    <w:p>
      <w:r>
        <w:t>Bundesgericht (BGE), 1993-05-25, DE</w:t>
      </w:r>
    </w:p>
    <w:p>
      <w:r>
        <w:rPr>
          <w:b/>
        </w:rPr>
        <w:t xml:space="preserve">Quelle: </w:t>
      </w:r>
      <w:r>
        <w:t>https://mcp.opencaselaw.ch/entscheid/bge_119 II 227</w:t>
      </w:r>
    </w:p>
    <w:p>
      <w:r>
        <w:t>FR: ATF 119 II 227</w:t>
      </w:r>
    </w:p>
    <w:p>
      <w:r>
        <w:t>IT: DTF 119 II 227</w:t>
      </w:r>
    </w:p>
    <w:p>
      <w:pPr>
        <w:pStyle w:val="Heading2"/>
      </w:pPr>
      <w:r>
        <w:t>Regeste</w:t>
      </w:r>
    </w:p>
    <w:p>
      <w:r>
        <w:t>Regeste Kaufvertrag; Vereinbarung, wonach der Kaufpreis in "100% WIR" zu erbringen ist. 1. Ist zwischen den Vertragsparteien ohne weitere Angaben "WIR-Zahlung" vereinbart worden, werden die Buchungsaufträge aber von der WIR-Genossenschaft nicht ausgeführt, so gilt die Vermutung, dass die Buchungsaufträge dem Verkäufer zahlungshalber und nicht an Zahlungsstatt übergeben worden sind (E. 1 u. 2). 2. In einem solchen Fall ist der Verkäufer berechtigt, vom Käufer Barzahlung zu verlangen, wenn ihm keine mangelnde Sorgfalt hinsichtlich der Erfüllung des auftragsähnlichen Rechtsverhältnisses vorzuwerfen ist, das mit der Hingabe der Leistung erfüllungshalber zwischen ihm und dem Käufer entstanden ist (E. 3).</w:t>
      </w:r>
    </w:p>
    <w:p>
      <w:pPr>
        <w:pStyle w:val="Heading2"/>
      </w:pPr>
      <w:r>
        <w:t>Erwägungen</w:t>
      </w:r>
    </w:p>
    <w:p>
      <w:r>
        <w:rPr>
          <w:b/>
        </w:rPr>
        <w:t>E. 1</w:t>
      </w:r>
    </w:p>
    <w:p>
      <w:r>
        <w:t>Im schriftlichen Kaufangebot vom 22. September 1988, das von der Beklagten mit Brief vom 26. September 1988 angenommen wurde, ist die Zahlungsart für den Kaufpreis ohne weitere Angaben mit "100% WIR" umschrieben. Über die Folgen möglicher Störungen des Verrechnungsablaufes und darüber, ob die mit "WIR" gemeinten Buchungsaufträge im Rahmen des von der Wirtschaftsring-Genossenschaft organisierten Verrechnungsverkehrs zahlungshalber oder an Zahlungsstatt beigebracht würden, bestanden im Zeitpunkt des Vertragsschlusses unstreitig keine ausdrücklichen Abmachungen zwischen den Parteien (vgl. allgemein zur WIR-Genossenschaft und zum Verrechnungsverkehr: BGE 95 II 178 ff. E. 3; GRAF in ZBJV 114, 1978, S. 31 ff.; WEBER, N. 129 f. zu Art. 84 OR ; OTT in SJZ 54, 1958, S. 145). Die Klägerin will indessen aus dem Umstand, dass Zahlung in "100% WIR" vereinbart war, durch Auslegung nach dem Vertrauensprinzip ableiten, die Geschäftsbedingungen der Genossenschaft seien Vertragsbestandteil geworden. Sie hält dabei sowohl die Geschäftsbedingungen für "offizielle WIR-Teilnehmer" wie auch jene für "stille WIR-Teilnehmer" für anwendbar (vgl. zu dieser Unterscheidung: MARCEL LAUTNER, Der "WIR"-Verrechnungsverkehr, Diss. Zürich 1962, S. 76 ff.). Dem Obergericht wirft die Klägerin vor, es habe die Anwendbarkeit der Bedingungen für "offizielle WIR-Teilnehmer" zu Unrecht verneint und in Verletzung von Art. 8 ZGB nicht abgeklärt, ob nicht auch jene für "stille WIR-Teilnehmer" Vertragsbestandteil geworden seien. Auch nach Auffassung der Klägerin ist jedoch die vom Obergericht verneinte Frage der Anwendbarkeit der erwähnten Geschäftsbedingungen nur insoweit entscheiderheblich, als beide Ausgaben eine gleichlautende Regelung darüber enthalten, wie der WIR-Gläubiger vorgehen muss, wenn die WIR-Forderungen vom Schuldner nicht rechtzeitig beglichen werden. Danach sind solche Forderungen spätestens innerhalb von dreissig Tagen nach Rechnungsstellung zu begleichen, anderslautende Abmachungen vorbehalten. Der WIR-Gläubiger hat sodann bei Fälligkeit seiner Forderung dem Schuldner schriftlich eine einwöchige Mahnfrist anzusetzen, worauf die Forderung bei Nichtbezahlung sofort ganz in Bargeld fällig wird (Ziff. II.9 der Geschäftsbedingungen für offizielle WIR-Teilnehmer und Ziff. II.3 der Geschäftsbedingungen für stille WIR-Teilnehmer). Da sich zeigen wird, dass die im Fall fehlender vertraglicher Abmachungen anwendbare gesetzliche Regelung zum gleichen Ergebnis BGE 119 II 227 S. 230 führt, kann offenbleiben, ob die Erwägungen des Obergerichts, die sich mit der Frage der Anwendbarkeit der Geschäftsbedingungen befassen, gegen Bundesrecht verstossen. Nicht zu prüfen sind deshalb auch die von der Klägerin mit der Berufung gegen diese Erwägungen erhobenen Rügen.</w:t>
      </w:r>
    </w:p>
    <w:p>
      <w:r>
        <w:rPr>
          <w:b/>
        </w:rPr>
        <w:t>E. 2</w:t>
      </w:r>
    </w:p>
    <w:p>
      <w:r>
        <w:t>a) Ist zwischen Schuldner und Gläubiger nicht vereinbart worden oder ist streitig, ob eine Leistung als zahlungshalber oder als an Zahlungsstatt erfolgt zu gelten habe, so wird nach Lehre und Rechtsprechung eine Leistung zahlungshalber vermutet ( BGE 89 II 341 E. 3; von TUHR/ESCHER, Allg. Teil des schweiz. Obligationenrechts, Bd. II, S. 14 BUCHER, Schweiz. Obligationenrecht Allg. Teil, 2. Aufl., S. 312; SCHRANER, N. 118 der Vorbemerkungen zu Art. 68-96 OR ; WEBER, N. 144 der Vorbemerkungen zu Art. 68-96 OR ). Dem liegt die Überlegung zugrunde, dass der Gläubiger, der vom Schuldner eine andere als eine Geldleistung anzunehmen bereit ist, nicht auch noch die Gefahr tragen soll, dadurch schlechter gestellt zu werden. Dieser Grundgedanke ist zwar im Obligationenrecht nicht in allgemeiner Form festgehalten worden. Er hat aber in verschiedenen Einzelbestimmungen seinen Niederschlag gefunden (vgl. Art. 116 Abs. 2, Art. 172, Art. 467 Abs. 1 und Art. 1103 OR ). b) Wie es sich verhält, wenn die Vertragsparteien ohne weitere Angaben "WIR-Zahlung" vereinbart haben, die Buchungsaufträge aber von der Genossenschaft nicht ausgeführt werden und eine Umbuchung durch die WIR-Zentrale nicht erfolgt, hatte das Bundesgericht in seinen früheren veröffentlichten Urteilen nicht zu entscheiden. In einem Fall, der den Verkauf von WIR-Guthaben betraf, hat das Bundesgericht zwar angenommen, die Abtretung dieser Guthaben sei zahlungshalber erfolgt und es fehle an der Erfüllung, wenn der Empfänger die Buchungsaufträge erfolglos zur Umbuchung vorweise ( BGE 102 II 342 ). Auf den vorliegenden Fall, in dem es ausschliesslich um die Frage geht, welche Rechtsfolge eintritt, wenn das vertraglich vereinbarte Zahlungsmittel der WIR-Buchungen nicht zur Tilgung der Schuld führt, lässt sich die damalige Betrachtungsweise nicht ohne weiteres übertragen. Im Ergebnis rechtfertigt es sich aber auch hier, auf die Vermutung abzustellen, dass die Übergabe der Buchungsaufträge an die Klägerin als Leistung erfüllungshalber erfolgt ist. Die sich gegenüberstehenden Interessen der Parteien sind nämlich nicht wesentlich anders zu gewichten als in jenen Fällen, in denen die bereits erwähnte allgemeine Regel zur Anwendung kommt. Es leuchtet deshalb ebenfalls ein, dass die Klägerin, welche der Beklagten ermöglichen wollte, die Kaufpreisschuld BGE 119 II 227 S. 231 in anderer Form als mit Geld zu begleichen, nicht auch noch vermutungsweise das Risiko tragen soll, dadurch einen Verlust zu erleiden. Die Vermutung einer Leistung zahlungshalber käme somit nur dann nicht zum Zuge, wenn die Beklagte aus einer insoweit eindeutigen Willensäusserung der Klägerin auf die Vereinbarung einer Leistung an Zahlungsstatt hätte schliessen dürfen. Eine solche Äusserung fehlt jedoch. Sie lässt sich entgegen der Auffassung der Beklagten nicht daraus ableiten, dass ein Vorauszahlungsverkauf vereinbart war und die Klägerin nach dem Vertragsschluss die ihr von der Beklagten zugestellten WIR-Buchungsaufträge widerspruchslos entgegengenommen hat. Der Umstand, dass die Beklagte in den Begleitbriefen von "Anzahlungen" sprach, musste die Klägerin nicht zum Widerspruch veranlassen, da dieser Begriff unter den gegebenen Umständen mehrdeutig war. Aus dem Schweigen der Klägerin lässt sich deshalb nichts zu Gunsten der Beklagten ableiten. Entsprechendes gilt sodann für den Brief vom 12. Dezember 1988, in dem die Klägerin auf den noch "ausstehenden Saldo" hingewiesen hat. Auch diese Äusserung war nicht eindeutig; sie durfte jedenfalls von der Beklagten nicht als Einverständnis mit der Hingabe der WIR-Buchungsaufträge an Zahlungsstatt verstanden werden. Schliesslich ist ein solches Einverständnis auch nicht darin zu sehen, dass die Klägerin den Kaufgegenstand geliefert hat, ohne zuvor abzuwarten, ob die WIR-Buchungsaufträge ausgeführt würden.</w:t>
      </w:r>
    </w:p>
    <w:p>
      <w:r>
        <w:rPr>
          <w:b/>
        </w:rPr>
        <w:t>E. 3</w:t>
      </w:r>
    </w:p>
    <w:p>
      <w:r>
        <w:t>a) Mit der Hingabe der Leistung erfüllungshalber entsteht zwischen Gläubiger und Schuldner ein auftragsähnliches Rechtsverhältnis, das den Gläubiger verpflichtet, sich mit der gebotenen Sorgfalt um die Verwertung der Ersatzleistung zu bemühen (SCHRANER, N. 109 f. der Vorbemerkungen zu Art. 68-96 OR ; WEBER, N. 130 ff. der Einleitung und Vorbemerkungen zu Art. 68-96 OR ). Dieser Verpflichtung ist die Klägerin denn auch nachgekommen. Dass ihre Bemühungen nicht erfolgreich waren, kann ihr nicht angelastet werden. Die Weigerung der WIR-Genossenschaft, den Buchungsaufträgen Folge zu geben, ist unstreitig auf das Verhalten der Beklagten zurückzuführen, welche diese Aufträge unter Verletzung der Geschäftsbedingungen der WIR-Genossenschaft an die Klägerin weitergegeben hat. Der Klägerin ist somit keine mangelnde Sorgfalt hinsichtlich der Erfüllung des zur Beklagten bestehenden auftragsähnlichen Verhältnisses vorzuwerfen. Sie war deshalb nach der mit Brief vom 27. Dezember 1988 mitgeteilten Zurückweisung der Buchungsaufträge durch die WIR-Genossenschaft berechtigt, von BGE 119 II 227 S. 232 der Beklagten die Zahlung des Kaufpreises in Bargeld zu verlangen. Das hat sie mehrmals, zuletzt mit Brief vom 30. Januar 1989, ohne Erfolg getan. Ihre vorher und auch nachher in der gerichtlichen Auseinandersetzung erklärte Bereitschaft, eventuell eine Tilgung des Kaufpreises durch WIR-Umbuchungen anzunehmen, kann ihr die Beklagte nicht entgegenhalten, da sie selbst diesen Vorschlag stets abgelehnt hat. Das gilt, wie aus der Berufungsantwort hervorgeht, auch hinsichtlich des Buchungsauftrages "Steiner" über Fr. 5'000.--. Ob die von der Klägerin erhobene Rüge, die Vorinstanz habe in diesem Zusammenhang mit der Abweisung ihres gesamten Rechtsbegehrens die Dispositionsmaxime verletzt, im Berufungsverfahren überhaupt zu hören wäre, kann deshalb offenbleiben. b)</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